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41124D" w:rsidRDefault="00F97B63" w:rsidP="00C0693E">
      <w:pPr>
        <w:shd w:val="clear" w:color="auto" w:fill="FFFFFF"/>
        <w:spacing w:after="100" w:afterAutospacing="1" w:line="240" w:lineRule="auto"/>
        <w:jc w:val="center"/>
        <w:rPr>
          <w:rFonts w:ascii="Arial" w:eastAsia="Times New Roman" w:hAnsi="Arial" w:cs="Arial"/>
          <w:sz w:val="24"/>
          <w:szCs w:val="24"/>
        </w:rPr>
      </w:pPr>
      <w:r w:rsidRPr="0041124D">
        <w:rPr>
          <w:rFonts w:ascii="Arial" w:eastAsia="Times New Roman" w:hAnsi="Arial" w:cs="Arial"/>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41124D"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41124D">
        <w:rPr>
          <w:rFonts w:ascii="Arial" w:eastAsia="Times New Roman" w:hAnsi="Arial" w:cs="Arial"/>
          <w:b/>
          <w:bCs/>
          <w:sz w:val="24"/>
          <w:szCs w:val="24"/>
        </w:rPr>
        <w:t>Compliance Questions or Concerns</w:t>
      </w:r>
    </w:p>
    <w:p w14:paraId="45F6D9C2" w14:textId="6F9F1201" w:rsidR="00F97B63" w:rsidRPr="008427EB" w:rsidRDefault="00F97B63" w:rsidP="00E200B6">
      <w:pPr>
        <w:shd w:val="clear" w:color="auto" w:fill="FFFFFF"/>
        <w:spacing w:after="100" w:afterAutospacing="1" w:line="240" w:lineRule="auto"/>
        <w:jc w:val="center"/>
        <w:rPr>
          <w:rFonts w:ascii="Arial" w:eastAsia="Times New Roman" w:hAnsi="Arial" w:cs="Arial"/>
          <w:sz w:val="24"/>
          <w:szCs w:val="24"/>
        </w:rPr>
      </w:pPr>
      <w:r w:rsidRPr="0041124D">
        <w:rPr>
          <w:rFonts w:ascii="Arial" w:eastAsia="Times New Roman" w:hAnsi="Arial" w:cs="Arial"/>
          <w:sz w:val="24"/>
          <w:szCs w:val="24"/>
        </w:rPr>
        <w:t>Compliance Email: </w:t>
      </w:r>
      <w:hyperlink r:id="rId7" w:history="1">
        <w:r w:rsidR="008427EB">
          <w:rPr>
            <w:rStyle w:val="Hyperlink"/>
            <w:rFonts w:ascii="Arial" w:eastAsia="Times New Roman" w:hAnsi="Arial" w:cs="Arial"/>
            <w:sz w:val="24"/>
            <w:szCs w:val="24"/>
          </w:rPr>
          <w:t>danecountyahdf@countyofdane.com</w:t>
        </w:r>
      </w:hyperlink>
    </w:p>
    <w:p w14:paraId="2A0CD240" w14:textId="178D0370" w:rsidR="00F97B63" w:rsidRPr="008427EB" w:rsidRDefault="00F97B63" w:rsidP="00E200B6">
      <w:pPr>
        <w:pBdr>
          <w:bottom w:val="single" w:sz="6" w:space="1" w:color="auto"/>
        </w:pBdr>
        <w:shd w:val="clear" w:color="auto" w:fill="FFFFFF"/>
        <w:spacing w:after="100" w:afterAutospacing="1" w:line="240" w:lineRule="auto"/>
        <w:jc w:val="center"/>
        <w:rPr>
          <w:rStyle w:val="Hyperlink"/>
          <w:rFonts w:ascii="Arial" w:eastAsia="Times New Roman" w:hAnsi="Arial" w:cs="Arial"/>
          <w:sz w:val="24"/>
          <w:szCs w:val="24"/>
        </w:rPr>
      </w:pPr>
      <w:r w:rsidRPr="0041124D">
        <w:rPr>
          <w:rFonts w:ascii="Arial" w:eastAsia="Times New Roman" w:hAnsi="Arial" w:cs="Arial"/>
          <w:sz w:val="24"/>
          <w:szCs w:val="24"/>
        </w:rPr>
        <w:t>Compliance Phone: </w:t>
      </w:r>
      <w:r w:rsidR="008427EB">
        <w:rPr>
          <w:rFonts w:ascii="Arial" w:eastAsia="Times New Roman" w:hAnsi="Arial" w:cs="Arial"/>
          <w:sz w:val="24"/>
          <w:szCs w:val="24"/>
          <w:u w:val="single"/>
        </w:rPr>
        <w:fldChar w:fldCharType="begin"/>
      </w:r>
      <w:r w:rsidR="008427EB">
        <w:rPr>
          <w:rFonts w:ascii="Arial" w:eastAsia="Times New Roman" w:hAnsi="Arial" w:cs="Arial"/>
          <w:sz w:val="24"/>
          <w:szCs w:val="24"/>
          <w:u w:val="single"/>
        </w:rPr>
        <w:instrText xml:space="preserve"> HYPERLINK "http://tel:608-283-1662/" </w:instrText>
      </w:r>
      <w:r w:rsidR="008427EB">
        <w:rPr>
          <w:rFonts w:ascii="Arial" w:eastAsia="Times New Roman" w:hAnsi="Arial" w:cs="Arial"/>
          <w:sz w:val="24"/>
          <w:szCs w:val="24"/>
          <w:u w:val="single"/>
        </w:rPr>
        <w:fldChar w:fldCharType="separate"/>
      </w:r>
      <w:r w:rsidRPr="008427EB">
        <w:rPr>
          <w:rStyle w:val="Hyperlink"/>
          <w:rFonts w:ascii="Arial" w:eastAsia="Times New Roman" w:hAnsi="Arial" w:cs="Arial"/>
          <w:sz w:val="24"/>
          <w:szCs w:val="24"/>
        </w:rPr>
        <w:t>608-283-1662</w:t>
      </w:r>
    </w:p>
    <w:p w14:paraId="6B929B41" w14:textId="77777777" w:rsidR="007F3D8E" w:rsidRPr="007F3D8E" w:rsidRDefault="008427EB" w:rsidP="007F3D8E">
      <w:pPr>
        <w:rPr>
          <w:rFonts w:ascii="Arial" w:hAnsi="Arial" w:cs="Arial"/>
          <w:b/>
          <w:bCs/>
          <w:sz w:val="24"/>
          <w:szCs w:val="24"/>
        </w:rPr>
      </w:pPr>
      <w:r>
        <w:rPr>
          <w:rFonts w:ascii="Arial" w:eastAsia="Times New Roman" w:hAnsi="Arial" w:cs="Arial"/>
          <w:sz w:val="24"/>
          <w:szCs w:val="24"/>
          <w:u w:val="single"/>
        </w:rPr>
        <w:fldChar w:fldCharType="end"/>
      </w:r>
      <w:r w:rsidR="007F3D8E" w:rsidRPr="007F3D8E">
        <w:rPr>
          <w:rFonts w:ascii="Arial" w:hAnsi="Arial" w:cs="Arial"/>
          <w:b/>
          <w:bCs/>
          <w:sz w:val="24"/>
          <w:szCs w:val="24"/>
        </w:rPr>
        <w:t>Project Name:</w:t>
      </w:r>
      <w:r w:rsidR="007F3D8E" w:rsidRPr="007F3D8E">
        <w:rPr>
          <w:rFonts w:ascii="Arial" w:hAnsi="Arial" w:cs="Arial"/>
          <w:b/>
          <w:bCs/>
          <w:sz w:val="24"/>
          <w:szCs w:val="24"/>
        </w:rPr>
        <w:tab/>
        <w:t>Timberline Terrace</w:t>
      </w:r>
    </w:p>
    <w:p w14:paraId="725B0DDD" w14:textId="77777777" w:rsidR="007F3D8E" w:rsidRPr="007F3D8E" w:rsidRDefault="007F3D8E" w:rsidP="007F3D8E">
      <w:pPr>
        <w:rPr>
          <w:rFonts w:ascii="Arial" w:hAnsi="Arial" w:cs="Arial"/>
          <w:b/>
          <w:bCs/>
          <w:sz w:val="24"/>
          <w:szCs w:val="24"/>
        </w:rPr>
      </w:pPr>
      <w:r w:rsidRPr="007F3D8E">
        <w:rPr>
          <w:rFonts w:ascii="Arial" w:hAnsi="Arial" w:cs="Arial"/>
          <w:b/>
          <w:bCs/>
          <w:sz w:val="24"/>
          <w:szCs w:val="24"/>
        </w:rPr>
        <w:t>Project Address:</w:t>
      </w:r>
      <w:r w:rsidRPr="007F3D8E">
        <w:rPr>
          <w:rFonts w:ascii="Arial" w:hAnsi="Arial" w:cs="Arial"/>
          <w:b/>
          <w:bCs/>
          <w:sz w:val="24"/>
          <w:szCs w:val="24"/>
        </w:rPr>
        <w:tab/>
      </w:r>
      <w:r w:rsidRPr="007F3D8E">
        <w:rPr>
          <w:rFonts w:ascii="Arial" w:hAnsi="Arial" w:cs="Arial"/>
          <w:sz w:val="24"/>
          <w:szCs w:val="24"/>
        </w:rPr>
        <w:t>4506 Verona Road, Madison</w:t>
      </w:r>
    </w:p>
    <w:p w14:paraId="2A2FBDDD" w14:textId="77777777" w:rsidR="007F3D8E" w:rsidRPr="007F3D8E" w:rsidRDefault="007F3D8E" w:rsidP="007F3D8E">
      <w:pPr>
        <w:rPr>
          <w:rFonts w:ascii="Arial" w:hAnsi="Arial" w:cs="Arial"/>
          <w:sz w:val="24"/>
          <w:szCs w:val="24"/>
        </w:rPr>
      </w:pPr>
      <w:r w:rsidRPr="007F3D8E">
        <w:rPr>
          <w:rFonts w:ascii="Arial" w:hAnsi="Arial" w:cs="Arial"/>
          <w:b/>
          <w:bCs/>
          <w:sz w:val="24"/>
          <w:szCs w:val="24"/>
        </w:rPr>
        <w:t>Year of Funding:</w:t>
      </w:r>
      <w:r w:rsidRPr="007F3D8E">
        <w:rPr>
          <w:rFonts w:ascii="Arial" w:hAnsi="Arial" w:cs="Arial"/>
          <w:b/>
          <w:bCs/>
          <w:sz w:val="24"/>
          <w:szCs w:val="24"/>
        </w:rPr>
        <w:tab/>
      </w:r>
      <w:r w:rsidRPr="007F3D8E">
        <w:rPr>
          <w:rFonts w:ascii="Arial" w:hAnsi="Arial" w:cs="Arial"/>
          <w:sz w:val="24"/>
          <w:szCs w:val="24"/>
        </w:rPr>
        <w:t>2025</w:t>
      </w:r>
    </w:p>
    <w:p w14:paraId="2CB07049" w14:textId="15457FEC" w:rsidR="007F3D8E" w:rsidRPr="007F3D8E" w:rsidRDefault="007F3D8E" w:rsidP="007F3D8E">
      <w:pPr>
        <w:rPr>
          <w:rFonts w:ascii="Arial" w:hAnsi="Arial" w:cs="Arial"/>
          <w:sz w:val="24"/>
          <w:szCs w:val="24"/>
        </w:rPr>
      </w:pPr>
      <w:r w:rsidRPr="007F3D8E">
        <w:rPr>
          <w:rFonts w:ascii="Arial" w:hAnsi="Arial" w:cs="Arial"/>
          <w:b/>
          <w:bCs/>
          <w:sz w:val="24"/>
          <w:szCs w:val="24"/>
        </w:rPr>
        <w:t>Amount of Funding:</w:t>
      </w:r>
      <w:r w:rsidRPr="007F3D8E">
        <w:rPr>
          <w:rFonts w:ascii="Arial" w:hAnsi="Arial" w:cs="Arial"/>
          <w:b/>
          <w:bCs/>
          <w:sz w:val="24"/>
          <w:szCs w:val="24"/>
        </w:rPr>
        <w:tab/>
      </w:r>
      <w:r w:rsidRPr="007F3D8E">
        <w:rPr>
          <w:rFonts w:ascii="Arial" w:hAnsi="Arial" w:cs="Arial"/>
          <w:sz w:val="24"/>
          <w:szCs w:val="24"/>
        </w:rPr>
        <w:t>$3,510,000</w:t>
      </w:r>
    </w:p>
    <w:p w14:paraId="5FA31EC1" w14:textId="2649387C" w:rsidR="007F3D8E" w:rsidRPr="007F3D8E" w:rsidRDefault="007F3D8E" w:rsidP="007F3D8E">
      <w:pPr>
        <w:rPr>
          <w:rFonts w:ascii="Arial" w:hAnsi="Arial" w:cs="Arial"/>
          <w:sz w:val="24"/>
          <w:szCs w:val="24"/>
        </w:rPr>
      </w:pPr>
      <w:r w:rsidRPr="007F3D8E">
        <w:rPr>
          <w:rFonts w:ascii="Arial" w:hAnsi="Arial" w:cs="Arial"/>
          <w:b/>
          <w:bCs/>
          <w:sz w:val="24"/>
          <w:szCs w:val="24"/>
        </w:rPr>
        <w:t>Source of Funding:</w:t>
      </w:r>
      <w:r w:rsidRPr="007F3D8E">
        <w:rPr>
          <w:rFonts w:ascii="Arial" w:hAnsi="Arial" w:cs="Arial"/>
          <w:b/>
          <w:bCs/>
          <w:sz w:val="24"/>
          <w:szCs w:val="24"/>
        </w:rPr>
        <w:tab/>
      </w:r>
      <w:r w:rsidRPr="007F3D8E">
        <w:rPr>
          <w:rFonts w:ascii="Arial" w:hAnsi="Arial" w:cs="Arial"/>
          <w:sz w:val="24"/>
          <w:szCs w:val="24"/>
        </w:rPr>
        <w:t>AHDF</w:t>
      </w:r>
    </w:p>
    <w:p w14:paraId="1433318A" w14:textId="28EFB717" w:rsidR="007F3D8E" w:rsidRPr="007F3D8E" w:rsidRDefault="007F3D8E" w:rsidP="007F3D8E">
      <w:pPr>
        <w:rPr>
          <w:rFonts w:ascii="Arial" w:hAnsi="Arial" w:cs="Arial"/>
          <w:sz w:val="24"/>
          <w:szCs w:val="24"/>
        </w:rPr>
      </w:pPr>
      <w:r w:rsidRPr="007F3D8E">
        <w:rPr>
          <w:rFonts w:ascii="Arial" w:hAnsi="Arial" w:cs="Arial"/>
          <w:b/>
          <w:bCs/>
          <w:sz w:val="24"/>
          <w:szCs w:val="24"/>
        </w:rPr>
        <w:t>Project Proposal:</w:t>
      </w:r>
      <w:r w:rsidRPr="007F3D8E">
        <w:rPr>
          <w:rFonts w:ascii="Arial" w:hAnsi="Arial" w:cs="Arial"/>
          <w:b/>
          <w:bCs/>
          <w:sz w:val="24"/>
          <w:szCs w:val="24"/>
        </w:rPr>
        <w:tab/>
      </w:r>
      <w:hyperlink r:id="rId8" w:history="1">
        <w:r w:rsidRPr="007F3D8E">
          <w:rPr>
            <w:rStyle w:val="Hyperlink"/>
            <w:rFonts w:ascii="Arial" w:hAnsi="Arial" w:cs="Arial"/>
            <w:sz w:val="24"/>
            <w:szCs w:val="24"/>
          </w:rPr>
          <w:t>Timberline Terrace Application</w:t>
        </w:r>
      </w:hyperlink>
    </w:p>
    <w:p w14:paraId="0B002A1E" w14:textId="09D0800D" w:rsidR="007F3D8E" w:rsidRPr="007F3D8E" w:rsidRDefault="007F3D8E" w:rsidP="007F3D8E">
      <w:pPr>
        <w:rPr>
          <w:rFonts w:ascii="Arial" w:hAnsi="Arial" w:cs="Arial"/>
          <w:sz w:val="24"/>
          <w:szCs w:val="24"/>
        </w:rPr>
      </w:pPr>
      <w:r w:rsidRPr="007F3D8E">
        <w:rPr>
          <w:rFonts w:ascii="Arial" w:hAnsi="Arial" w:cs="Arial"/>
          <w:b/>
          <w:bCs/>
          <w:sz w:val="24"/>
          <w:szCs w:val="24"/>
        </w:rPr>
        <w:t>Project Contract:</w:t>
      </w:r>
      <w:r w:rsidRPr="007F3D8E">
        <w:rPr>
          <w:rFonts w:ascii="Arial" w:hAnsi="Arial" w:cs="Arial"/>
          <w:b/>
          <w:bCs/>
          <w:sz w:val="24"/>
          <w:szCs w:val="24"/>
        </w:rPr>
        <w:tab/>
      </w:r>
      <w:hyperlink r:id="rId9" w:history="1">
        <w:r w:rsidRPr="007F3D8E">
          <w:rPr>
            <w:rStyle w:val="Hyperlink"/>
            <w:rFonts w:ascii="Arial" w:hAnsi="Arial" w:cs="Arial"/>
            <w:sz w:val="24"/>
            <w:szCs w:val="24"/>
          </w:rPr>
          <w:t>Timberline Terrace Contract</w:t>
        </w:r>
      </w:hyperlink>
    </w:p>
    <w:p w14:paraId="3B5E71A6" w14:textId="205C701B" w:rsidR="0041124D" w:rsidRPr="0041124D" w:rsidRDefault="0041124D" w:rsidP="007F3D8E">
      <w:pPr>
        <w:rPr>
          <w:rFonts w:ascii="Arial" w:hAnsi="Arial" w:cs="Arial"/>
          <w:b/>
          <w:bCs/>
          <w:sz w:val="24"/>
          <w:szCs w:val="24"/>
        </w:rPr>
      </w:pPr>
      <w:r w:rsidRPr="0041124D">
        <w:rPr>
          <w:rFonts w:ascii="Arial" w:hAnsi="Arial" w:cs="Arial"/>
          <w:b/>
          <w:bCs/>
          <w:sz w:val="24"/>
          <w:szCs w:val="24"/>
        </w:rPr>
        <w:t>Does the Project Incorporate the Tenancy Addendum?</w:t>
      </w:r>
      <w:r w:rsidRPr="0041124D">
        <w:rPr>
          <w:rFonts w:ascii="Arial" w:hAnsi="Arial" w:cs="Arial"/>
          <w:b/>
          <w:bCs/>
          <w:sz w:val="24"/>
          <w:szCs w:val="24"/>
        </w:rPr>
        <w:tab/>
      </w:r>
      <w:r w:rsidRPr="0041124D">
        <w:rPr>
          <w:rFonts w:ascii="Arial" w:hAnsi="Arial" w:cs="Arial"/>
          <w:sz w:val="24"/>
          <w:szCs w:val="24"/>
        </w:rPr>
        <w:t>Yes (</w:t>
      </w:r>
      <w:hyperlink r:id="rId10" w:history="1">
        <w:r w:rsidRPr="0041124D">
          <w:rPr>
            <w:rStyle w:val="Hyperlink"/>
            <w:rFonts w:ascii="Arial" w:hAnsi="Arial" w:cs="Arial"/>
            <w:sz w:val="24"/>
            <w:szCs w:val="24"/>
          </w:rPr>
          <w:t>View Here</w:t>
        </w:r>
      </w:hyperlink>
      <w:r w:rsidRPr="0041124D">
        <w:rPr>
          <w:rFonts w:ascii="Arial" w:hAnsi="Arial" w:cs="Arial"/>
          <w:sz w:val="24"/>
          <w:szCs w:val="24"/>
        </w:rPr>
        <w:t>)</w:t>
      </w:r>
    </w:p>
    <w:p w14:paraId="47CEA068" w14:textId="44E6E11B" w:rsidR="0041124D" w:rsidRPr="0041124D" w:rsidRDefault="0041124D" w:rsidP="0041124D">
      <w:pPr>
        <w:rPr>
          <w:rFonts w:ascii="Arial" w:hAnsi="Arial" w:cs="Arial"/>
          <w:sz w:val="24"/>
          <w:szCs w:val="24"/>
        </w:rPr>
      </w:pPr>
      <w:r w:rsidRPr="0041124D">
        <w:rPr>
          <w:rFonts w:ascii="Arial" w:hAnsi="Arial" w:cs="Arial"/>
          <w:b/>
          <w:bCs/>
          <w:sz w:val="24"/>
          <w:szCs w:val="24"/>
        </w:rPr>
        <w:t>The project incorporates the listed Fair Tenant Selection Criteria:</w:t>
      </w:r>
      <w:r w:rsidRPr="0041124D">
        <w:rPr>
          <w:rFonts w:ascii="Arial" w:hAnsi="Arial" w:cs="Arial"/>
          <w:sz w:val="24"/>
          <w:szCs w:val="24"/>
        </w:rPr>
        <w:tab/>
      </w:r>
    </w:p>
    <w:p w14:paraId="313ACB57" w14:textId="6E43B620" w:rsidR="0041124D" w:rsidRPr="0041124D" w:rsidRDefault="0041124D" w:rsidP="0041124D">
      <w:pPr>
        <w:jc w:val="center"/>
        <w:rPr>
          <w:rFonts w:ascii="Arial" w:hAnsi="Arial" w:cs="Arial"/>
          <w:sz w:val="24"/>
          <w:szCs w:val="24"/>
        </w:rPr>
      </w:pPr>
      <w:r w:rsidRPr="0041124D">
        <w:rPr>
          <w:rFonts w:ascii="Arial" w:hAnsi="Arial" w:cs="Arial"/>
          <w:sz w:val="24"/>
          <w:szCs w:val="24"/>
        </w:rPr>
        <w:t>Project will not deny applicants based on any of the following:</w:t>
      </w:r>
    </w:p>
    <w:p w14:paraId="4C82FF76" w14:textId="722A9ECE"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Inability to meet a minimum income requirement if the applicant can demonstrate the ability to comply with the rent obligation based on a rental history of paying at an equivalent rent to income ratio for 24 months</w:t>
      </w:r>
    </w:p>
    <w:p w14:paraId="098C3969" w14:textId="331BA08A"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Lack of housing history</w:t>
      </w:r>
    </w:p>
    <w:p w14:paraId="385D423A" w14:textId="639837D2"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Membership in a class protected by Dane County fair housing ordinances and non-discrimination ordinances in the municipality where the project is located.</w:t>
      </w:r>
    </w:p>
    <w:p w14:paraId="7F20DCEA" w14:textId="1D4E2315"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Wisconsin Circuit Court Access records</w:t>
      </w:r>
    </w:p>
    <w:p w14:paraId="5491DAA4" w14:textId="1F24ED02"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Inability to meet financial obligations other than housing and utilities necessary for housing (gas, electric, water).</w:t>
      </w:r>
    </w:p>
    <w:p w14:paraId="409BBA92" w14:textId="04DA3F9F"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Credit score</w:t>
      </w:r>
    </w:p>
    <w:p w14:paraId="143C053A" w14:textId="3C0C8529"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Information on credit report that is disputed, in repayment, or unrelated to a past housing or utility (gas, electric, and water only) obligations.</w:t>
      </w:r>
    </w:p>
    <w:p w14:paraId="0EF1721E" w14:textId="1618B9DE"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lastRenderedPageBreak/>
        <w:t>Owing money to a prior landlord or negative rent payment history if the tenant’s housing and utility costs were more than 50% of their monthly income.</w:t>
      </w:r>
    </w:p>
    <w:p w14:paraId="09BF1253" w14:textId="191C78E9"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54C4BFC7" w14:textId="67773A86"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Any eviction filing if meets any of the following: (1) eviction filing was dismissed or resulted in a judgement in favor of the applicant; (2) eviction filing which was settled with no judgement or write of recovery issued (e.g. stipulated dismissal); or (3) eviction filing that resulted in judgement for the landlord more than two years before the applicant submits the application.</w:t>
      </w:r>
    </w:p>
    <w:p w14:paraId="66E052C8" w14:textId="77777777"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Criminal activity, except: (</w:t>
      </w:r>
      <w:proofErr w:type="spellStart"/>
      <w:r w:rsidRPr="0041124D">
        <w:rPr>
          <w:rFonts w:ascii="Arial" w:hAnsi="Arial" w:cs="Arial"/>
          <w:sz w:val="24"/>
          <w:szCs w:val="24"/>
        </w:rPr>
        <w:t>i</w:t>
      </w:r>
      <w:proofErr w:type="spellEnd"/>
      <w:r w:rsidRPr="0041124D">
        <w:rPr>
          <w:rFonts w:ascii="Arial" w:hAnsi="Arial" w:cs="Arial"/>
          <w:sz w:val="24"/>
          <w:szCs w:val="24"/>
        </w:rPr>
        <w:t>) a criminal conviction within the last two years for violent criminal activity or drug related criminal activity resulting in a criminal conviction, and (ii) if the program or project is federally assisted, criminal activity for which federal law currently requires denial.  (Violent criminal activity 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704.17(3m)(a)(2).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1AC4B0FF" w14:textId="6DF2ED56" w:rsidR="00C950C4" w:rsidRPr="008427EB" w:rsidRDefault="0041124D" w:rsidP="008427EB">
      <w:pPr>
        <w:rPr>
          <w:rFonts w:ascii="Arial" w:hAnsi="Arial" w:cs="Arial"/>
          <w:sz w:val="24"/>
          <w:szCs w:val="24"/>
        </w:rPr>
      </w:pPr>
      <w:r w:rsidRPr="0041124D">
        <w:rPr>
          <w:rFonts w:ascii="Arial" w:hAnsi="Arial" w:cs="Arial"/>
          <w:sz w:val="24"/>
          <w:szCs w:val="24"/>
        </w:rPr>
        <w:t>Project Incorporates denial process?</w:t>
      </w:r>
      <w:r w:rsidRPr="0041124D">
        <w:rPr>
          <w:rFonts w:ascii="Arial" w:hAnsi="Arial" w:cs="Arial"/>
          <w:sz w:val="24"/>
          <w:szCs w:val="24"/>
        </w:rPr>
        <w:tab/>
      </w:r>
      <w:r w:rsidRPr="0041124D">
        <w:rPr>
          <w:rFonts w:ascii="Arial" w:hAnsi="Arial" w:cs="Arial"/>
          <w:sz w:val="24"/>
          <w:szCs w:val="24"/>
        </w:rPr>
        <w:tab/>
        <w:t>Yes (</w:t>
      </w:r>
      <w:hyperlink r:id="rId11" w:history="1">
        <w:r w:rsidRPr="0041124D">
          <w:rPr>
            <w:rStyle w:val="Hyperlink"/>
            <w:rFonts w:ascii="Arial" w:hAnsi="Arial" w:cs="Arial"/>
            <w:sz w:val="24"/>
            <w:szCs w:val="24"/>
          </w:rPr>
          <w:t>View Here</w:t>
        </w:r>
      </w:hyperlink>
      <w:r w:rsidRPr="0041124D">
        <w:rPr>
          <w:rFonts w:ascii="Arial" w:hAnsi="Arial" w:cs="Arial"/>
          <w:sz w:val="24"/>
          <w:szCs w:val="24"/>
        </w:rPr>
        <w:t>)</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7F7CB32E" w:rsidR="00C0693E" w:rsidRPr="008427EB" w:rsidRDefault="00C0693E" w:rsidP="00C0693E">
    <w:pPr>
      <w:pStyle w:val="Header"/>
      <w:spacing w:line="360" w:lineRule="auto"/>
      <w:jc w:val="center"/>
      <w:rPr>
        <w:caps/>
      </w:rPr>
    </w:pPr>
    <w:r w:rsidRPr="008427EB">
      <w:rPr>
        <w:caps/>
        <w:noProof/>
      </w:rPr>
      <w:drawing>
        <wp:inline distT="0" distB="0" distL="0" distR="0" wp14:anchorId="0AE08EB7" wp14:editId="022B7464">
          <wp:extent cx="585216" cy="585216"/>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sidRPr="008427EB">
      <w:rPr>
        <w:caps/>
      </w:rPr>
      <w:t xml:space="preserve">   </w:t>
    </w:r>
    <w:r w:rsidRPr="008427EB">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A17A8"/>
    <w:multiLevelType w:val="hybridMultilevel"/>
    <w:tmpl w:val="6034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0622E6"/>
    <w:rsid w:val="00134BF6"/>
    <w:rsid w:val="001A0E56"/>
    <w:rsid w:val="00220DD3"/>
    <w:rsid w:val="00287BA8"/>
    <w:rsid w:val="0031363E"/>
    <w:rsid w:val="003169B2"/>
    <w:rsid w:val="00330396"/>
    <w:rsid w:val="003676B7"/>
    <w:rsid w:val="0041124D"/>
    <w:rsid w:val="00427363"/>
    <w:rsid w:val="004D75F4"/>
    <w:rsid w:val="005E7DB2"/>
    <w:rsid w:val="006426CC"/>
    <w:rsid w:val="00747D92"/>
    <w:rsid w:val="007B4181"/>
    <w:rsid w:val="007F3D8E"/>
    <w:rsid w:val="008112AD"/>
    <w:rsid w:val="008427EB"/>
    <w:rsid w:val="008C29B8"/>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e.legistar.com/View.ashx?M=F&amp;ID=14913285&amp;GUID=566FFCB3-1144-4068-B80E-D7401DBC20F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dhs.com/HAA/Tenant-Denial-Process" TargetMode="External"/><Relationship Id="rId5" Type="http://schemas.openxmlformats.org/officeDocument/2006/relationships/footnotes" Target="footnotes.xml"/><Relationship Id="rId10" Type="http://schemas.openxmlformats.org/officeDocument/2006/relationships/hyperlink" Target="https://dcdhs.com/HAA/Tenancy-Addendum" TargetMode="External"/><Relationship Id="rId4" Type="http://schemas.openxmlformats.org/officeDocument/2006/relationships/webSettings" Target="webSettings.xml"/><Relationship Id="rId9" Type="http://schemas.openxmlformats.org/officeDocument/2006/relationships/hyperlink" Target="https://dane.legistar.com/View.ashx?M=F&amp;ID=15165233&amp;GUID=6255BE3E-9269-4591-859F-4BF206C6D0B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2026-06-22T14:36:00Z</dcterms:created>
  <dcterms:modified xsi:type="dcterms:W3CDTF">2026-06-22T14:36:00Z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